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31487E">
        <w:rPr>
          <w:rFonts w:ascii="Arial" w:hAnsi="Arial" w:cs="Arial"/>
          <w:b/>
          <w:sz w:val="24"/>
          <w:szCs w:val="24"/>
        </w:rPr>
        <w:t xml:space="preserve"> 4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 xml:space="preserve">Politique de gestion et de traitement des sous-produits utilisés pour les </w:t>
      </w:r>
      <w:proofErr w:type="gramStart"/>
      <w:r w:rsidRPr="00621450">
        <w:rPr>
          <w:rFonts w:ascii="Arial" w:eastAsia="Times New Roman" w:hAnsi="Arial" w:cs="Arial"/>
          <w:b/>
          <w:lang w:eastAsia="fr-FR"/>
        </w:rPr>
        <w:t>analyses</w:t>
      </w:r>
      <w:proofErr w:type="gramEnd"/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03FA7"/>
    <w:rsid w:val="00215709"/>
    <w:rsid w:val="0026330A"/>
    <w:rsid w:val="002B7770"/>
    <w:rsid w:val="003046E4"/>
    <w:rsid w:val="0031487E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E64E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22</cp:revision>
  <dcterms:created xsi:type="dcterms:W3CDTF">2025-08-07T19:35:00Z</dcterms:created>
  <dcterms:modified xsi:type="dcterms:W3CDTF">2025-08-12T15:01:00Z</dcterms:modified>
</cp:coreProperties>
</file>